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60" w:type="dxa"/>
        <w:tblCellMar>
          <w:left w:w="0" w:type="dxa"/>
          <w:right w:w="0" w:type="dxa"/>
        </w:tblCellMar>
        <w:tblLook w:val="04A0"/>
      </w:tblPr>
      <w:tblGrid>
        <w:gridCol w:w="360"/>
      </w:tblGrid>
      <w:tr w:rsidR="00871F06" w:rsidRPr="009B099A" w:rsidTr="00871F06">
        <w:tc>
          <w:tcPr>
            <w:tcW w:w="360" w:type="dxa"/>
            <w:vAlign w:val="center"/>
            <w:hideMark/>
          </w:tcPr>
          <w:p w:rsidR="00871F06" w:rsidRPr="009B099A" w:rsidRDefault="00871F06" w:rsidP="009B099A">
            <w:pPr>
              <w:adjustRightInd/>
              <w:snapToGrid/>
              <w:spacing w:before="60" w:after="0"/>
              <w:jc w:val="right"/>
              <w:rPr>
                <w:rFonts w:ascii="宋体" w:eastAsia="宋体" w:hAnsi="宋体" w:cs="宋体"/>
                <w:color w:val="525252"/>
                <w:sz w:val="24"/>
                <w:szCs w:val="24"/>
              </w:rPr>
            </w:pPr>
          </w:p>
        </w:tc>
      </w:tr>
    </w:tbl>
    <w:p w:rsidR="009B099A" w:rsidRPr="009B099A" w:rsidRDefault="009B099A" w:rsidP="009B099A">
      <w:pPr>
        <w:shd w:val="clear" w:color="auto" w:fill="FAFAFA"/>
        <w:adjustRightInd/>
        <w:snapToGrid/>
        <w:spacing w:after="150"/>
        <w:jc w:val="center"/>
        <w:rPr>
          <w:rFonts w:ascii="ˎ̥" w:eastAsia="宋体" w:hAnsi="ˎ̥" w:cs="宋体"/>
          <w:b/>
          <w:bCs/>
          <w:color w:val="525252"/>
          <w:sz w:val="27"/>
          <w:szCs w:val="27"/>
        </w:rPr>
      </w:pPr>
      <w:r w:rsidRPr="009B099A">
        <w:rPr>
          <w:rFonts w:ascii="ˎ̥" w:eastAsia="宋体" w:hAnsi="ˎ̥" w:cs="宋体"/>
          <w:b/>
          <w:bCs/>
          <w:color w:val="525252"/>
          <w:sz w:val="27"/>
          <w:szCs w:val="27"/>
        </w:rPr>
        <w:t>长沙市地方税务局关于调整其他个人转让不动产个人所得税核定征收率的公告</w:t>
      </w:r>
      <w:r w:rsidRPr="009B099A">
        <w:rPr>
          <w:rFonts w:ascii="ˎ̥" w:eastAsia="宋体" w:hAnsi="ˎ̥" w:cs="宋体"/>
          <w:b/>
          <w:bCs/>
          <w:color w:val="525252"/>
          <w:sz w:val="27"/>
          <w:szCs w:val="27"/>
        </w:rPr>
        <w:t xml:space="preserve"> </w:t>
      </w:r>
    </w:p>
    <w:p w:rsidR="009B099A" w:rsidRPr="009B099A" w:rsidRDefault="009B099A" w:rsidP="009B099A">
      <w:pPr>
        <w:shd w:val="clear" w:color="auto" w:fill="FAFAFA"/>
        <w:adjustRightInd/>
        <w:snapToGrid/>
        <w:spacing w:after="150"/>
        <w:jc w:val="center"/>
        <w:rPr>
          <w:rFonts w:ascii="ˎ̥" w:eastAsia="宋体" w:hAnsi="ˎ̥" w:cs="宋体"/>
          <w:b/>
          <w:bCs/>
          <w:color w:val="525252"/>
          <w:sz w:val="27"/>
          <w:szCs w:val="27"/>
        </w:rPr>
      </w:pPr>
      <w:r w:rsidRPr="009B099A">
        <w:rPr>
          <w:rFonts w:ascii="ˎ̥" w:eastAsia="宋体" w:hAnsi="ˎ̥" w:cs="宋体"/>
          <w:b/>
          <w:bCs/>
          <w:color w:val="525252"/>
          <w:sz w:val="27"/>
          <w:szCs w:val="27"/>
        </w:rPr>
        <w:t>——2018</w:t>
      </w:r>
      <w:r w:rsidRPr="009B099A">
        <w:rPr>
          <w:rFonts w:ascii="ˎ̥" w:eastAsia="宋体" w:hAnsi="ˎ̥" w:cs="宋体"/>
          <w:b/>
          <w:bCs/>
          <w:color w:val="525252"/>
          <w:sz w:val="27"/>
          <w:szCs w:val="27"/>
        </w:rPr>
        <w:t>年第</w:t>
      </w:r>
      <w:r w:rsidRPr="009B099A">
        <w:rPr>
          <w:rFonts w:ascii="ˎ̥" w:eastAsia="宋体" w:hAnsi="ˎ̥" w:cs="宋体"/>
          <w:b/>
          <w:bCs/>
          <w:color w:val="525252"/>
          <w:sz w:val="27"/>
          <w:szCs w:val="27"/>
        </w:rPr>
        <w:t>1</w:t>
      </w:r>
      <w:r w:rsidRPr="009B099A">
        <w:rPr>
          <w:rFonts w:ascii="ˎ̥" w:eastAsia="宋体" w:hAnsi="ˎ̥" w:cs="宋体"/>
          <w:b/>
          <w:bCs/>
          <w:color w:val="525252"/>
          <w:sz w:val="27"/>
          <w:szCs w:val="27"/>
        </w:rPr>
        <w:t>号</w:t>
      </w:r>
      <w:r w:rsidRPr="009B099A">
        <w:rPr>
          <w:rFonts w:ascii="ˎ̥" w:eastAsia="宋体" w:hAnsi="ˎ̥" w:cs="宋体"/>
          <w:b/>
          <w:bCs/>
          <w:color w:val="525252"/>
          <w:sz w:val="27"/>
          <w:szCs w:val="27"/>
        </w:rPr>
        <w:t xml:space="preserve"> </w:t>
      </w:r>
    </w:p>
    <w:tbl>
      <w:tblPr>
        <w:tblW w:w="7872" w:type="dxa"/>
        <w:jc w:val="center"/>
        <w:tblInd w:w="-1558" w:type="dxa"/>
        <w:tblCellMar>
          <w:left w:w="0" w:type="dxa"/>
          <w:right w:w="0" w:type="dxa"/>
        </w:tblCellMar>
        <w:tblLook w:val="04A0"/>
      </w:tblPr>
      <w:tblGrid>
        <w:gridCol w:w="3469"/>
        <w:gridCol w:w="2487"/>
        <w:gridCol w:w="1916"/>
      </w:tblGrid>
      <w:tr w:rsidR="00871F06" w:rsidRPr="009B099A" w:rsidTr="00871F06">
        <w:trPr>
          <w:trHeight w:val="907"/>
          <w:jc w:val="center"/>
        </w:trPr>
        <w:tc>
          <w:tcPr>
            <w:tcW w:w="3469" w:type="dxa"/>
            <w:vAlign w:val="center"/>
            <w:hideMark/>
          </w:tcPr>
          <w:p w:rsidR="00871F06" w:rsidRPr="009B099A" w:rsidRDefault="00871F06" w:rsidP="009B099A">
            <w:pPr>
              <w:adjustRightInd/>
              <w:snapToGrid/>
              <w:spacing w:after="0"/>
              <w:jc w:val="center"/>
              <w:rPr>
                <w:rFonts w:ascii="宋体" w:eastAsia="宋体" w:hAnsi="宋体" w:cs="宋体"/>
                <w:color w:val="525252"/>
                <w:sz w:val="24"/>
                <w:szCs w:val="24"/>
              </w:rPr>
            </w:pPr>
            <w:r w:rsidRPr="009B099A">
              <w:rPr>
                <w:rFonts w:ascii="宋体" w:eastAsia="宋体" w:hAnsi="宋体" w:cs="宋体"/>
                <w:color w:val="525252"/>
                <w:sz w:val="24"/>
                <w:szCs w:val="24"/>
              </w:rPr>
              <w:t>作者：长沙市-办公室</w:t>
            </w:r>
          </w:p>
        </w:tc>
        <w:tc>
          <w:tcPr>
            <w:tcW w:w="2487" w:type="dxa"/>
            <w:vAlign w:val="center"/>
            <w:hideMark/>
          </w:tcPr>
          <w:p w:rsidR="00871F06" w:rsidRPr="009B099A" w:rsidRDefault="00871F06" w:rsidP="00871F06">
            <w:pPr>
              <w:adjustRightInd/>
              <w:snapToGrid/>
              <w:spacing w:after="0"/>
              <w:rPr>
                <w:rFonts w:ascii="宋体" w:eastAsia="宋体" w:hAnsi="宋体" w:cs="宋体"/>
                <w:color w:val="525252"/>
                <w:sz w:val="24"/>
                <w:szCs w:val="24"/>
              </w:rPr>
            </w:pPr>
            <w:r w:rsidRPr="009B099A">
              <w:rPr>
                <w:rFonts w:ascii="宋体" w:eastAsia="宋体" w:hAnsi="宋体" w:cs="宋体"/>
                <w:color w:val="525252"/>
                <w:sz w:val="24"/>
                <w:szCs w:val="24"/>
              </w:rPr>
              <w:t>发布时间：2018-06-27</w:t>
            </w:r>
          </w:p>
        </w:tc>
        <w:tc>
          <w:tcPr>
            <w:tcW w:w="1916" w:type="dxa"/>
            <w:vAlign w:val="center"/>
            <w:hideMark/>
          </w:tcPr>
          <w:p w:rsidR="00871F06" w:rsidRPr="009B099A" w:rsidRDefault="00871F06" w:rsidP="009B099A">
            <w:pPr>
              <w:adjustRightInd/>
              <w:snapToGrid/>
              <w:spacing w:after="0"/>
              <w:jc w:val="center"/>
              <w:rPr>
                <w:rFonts w:ascii="宋体" w:eastAsia="宋体" w:hAnsi="宋体" w:cs="宋体"/>
                <w:color w:val="525252"/>
                <w:sz w:val="24"/>
                <w:szCs w:val="24"/>
              </w:rPr>
            </w:pPr>
            <w:r w:rsidRPr="009B099A">
              <w:rPr>
                <w:rFonts w:ascii="宋体" w:eastAsia="宋体" w:hAnsi="宋体" w:cs="宋体"/>
                <w:color w:val="525252"/>
                <w:sz w:val="24"/>
                <w:szCs w:val="24"/>
              </w:rPr>
              <w:t>来源：办公室</w:t>
            </w:r>
          </w:p>
        </w:tc>
      </w:tr>
    </w:tbl>
    <w:p w:rsidR="009B099A" w:rsidRPr="009B099A" w:rsidRDefault="009B099A" w:rsidP="009B099A">
      <w:pPr>
        <w:shd w:val="clear" w:color="auto" w:fill="FAFAFA"/>
        <w:adjustRightInd/>
        <w:snapToGrid/>
        <w:spacing w:after="0" w:line="480" w:lineRule="auto"/>
        <w:ind w:firstLine="480"/>
        <w:rPr>
          <w:rFonts w:ascii="宋体" w:eastAsia="宋体" w:hAnsi="宋体" w:cs="宋体"/>
          <w:color w:val="525252"/>
          <w:sz w:val="24"/>
          <w:szCs w:val="24"/>
        </w:rPr>
      </w:pPr>
      <w:r w:rsidRPr="009B099A">
        <w:rPr>
          <w:rFonts w:ascii="宋体" w:eastAsia="宋体" w:hAnsi="宋体" w:cs="宋体" w:hint="eastAsia"/>
          <w:color w:val="525252"/>
          <w:sz w:val="24"/>
          <w:szCs w:val="24"/>
        </w:rPr>
        <w:t>为规范其他个人转让不动产个人所得税征收行为，根据《中华人民共和国税收征收管理法》第三十五条和《中华人民共和国个人所得税法》及其实施细则的有关规定，现就其他个人转让不动产有关问题公告如下：</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一、本公告所称其他个人，是指自然人，不包括个体工商户、个人独资企业和合伙企业的自然人投资者。</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二、其他个人转让不动产取得财产转让所得，应依法适用20%的比例税率缴纳个人所得税。</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三、其他个人如果不能提供完整、准确的财产原值凭证，不能正确计算财产原值和应纳税额的，对其个人所得税实行核定征收。核定征收率调整为：</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1.住房:市区（含望城区、高新区）、长沙县2%;浏阳市、宁乡市1%；</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2.非住房：市区（含望城区、高新区）、长沙县2%；浏阳市、宁乡市1.5%；</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3.土地使用权:2%；</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4.拍卖房产和土地使用权:3%。</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四、其他个人转让自用达5年以上、并且是唯一的家庭生活用房取得的所得，暂免征收个人所得税。</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五、本公告自2018年7月12日起施行。《长沙市地方税务局关于明确个人转让房产和土地个人所得税核定征收率的公告》（长沙市地方税务局公告2017年第4号）同时废止。</w:t>
      </w:r>
    </w:p>
    <w:p w:rsidR="009B099A" w:rsidRPr="009B099A" w:rsidRDefault="009B099A" w:rsidP="009B099A">
      <w:pPr>
        <w:shd w:val="clear" w:color="auto" w:fill="FAFAFA"/>
        <w:adjustRightInd/>
        <w:snapToGrid/>
        <w:spacing w:after="0" w:line="480" w:lineRule="auto"/>
        <w:ind w:firstLine="480"/>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特此公告。</w:t>
      </w:r>
    </w:p>
    <w:p w:rsidR="009B099A" w:rsidRPr="009B099A" w:rsidRDefault="009B099A" w:rsidP="009B099A">
      <w:pPr>
        <w:shd w:val="clear" w:color="auto" w:fill="FAFAFA"/>
        <w:adjustRightInd/>
        <w:snapToGrid/>
        <w:spacing w:after="0" w:line="480" w:lineRule="auto"/>
        <w:ind w:firstLine="480"/>
        <w:jc w:val="right"/>
        <w:rPr>
          <w:rFonts w:ascii="宋体" w:eastAsia="宋体" w:hAnsi="宋体" w:cs="宋体" w:hint="eastAsia"/>
          <w:color w:val="525252"/>
          <w:sz w:val="24"/>
          <w:szCs w:val="24"/>
        </w:rPr>
      </w:pPr>
      <w:r w:rsidRPr="009B099A">
        <w:rPr>
          <w:rFonts w:ascii="宋体" w:eastAsia="宋体" w:hAnsi="宋体" w:cs="宋体" w:hint="eastAsia"/>
          <w:color w:val="525252"/>
          <w:sz w:val="24"/>
          <w:szCs w:val="24"/>
        </w:rPr>
        <w:lastRenderedPageBreak/>
        <w:t>长沙市地方税务局</w:t>
      </w:r>
    </w:p>
    <w:p w:rsidR="009B099A" w:rsidRPr="009B099A" w:rsidRDefault="009B099A" w:rsidP="009B099A">
      <w:pPr>
        <w:shd w:val="clear" w:color="auto" w:fill="FAFAFA"/>
        <w:adjustRightInd/>
        <w:snapToGrid/>
        <w:spacing w:after="0" w:line="480" w:lineRule="auto"/>
        <w:ind w:firstLine="480"/>
        <w:jc w:val="right"/>
        <w:rPr>
          <w:rFonts w:ascii="宋体" w:eastAsia="宋体" w:hAnsi="宋体" w:cs="宋体" w:hint="eastAsia"/>
          <w:color w:val="525252"/>
          <w:sz w:val="24"/>
          <w:szCs w:val="24"/>
        </w:rPr>
      </w:pPr>
      <w:r w:rsidRPr="009B099A">
        <w:rPr>
          <w:rFonts w:ascii="宋体" w:eastAsia="宋体" w:hAnsi="宋体" w:cs="宋体" w:hint="eastAsia"/>
          <w:color w:val="525252"/>
          <w:sz w:val="24"/>
          <w:szCs w:val="24"/>
        </w:rPr>
        <w:t>2018年6月27日</w:t>
      </w:r>
    </w:p>
    <w:p w:rsidR="009B099A" w:rsidRDefault="009B099A" w:rsidP="00D31D50">
      <w:pPr>
        <w:spacing w:line="220" w:lineRule="atLeast"/>
        <w:rPr>
          <w:rFonts w:ascii="微软雅黑" w:hAnsi="微软雅黑" w:hint="eastAsia"/>
          <w:color w:val="343434"/>
          <w:sz w:val="28"/>
          <w:szCs w:val="28"/>
        </w:rPr>
      </w:pPr>
    </w:p>
    <w:p w:rsidR="004358AB" w:rsidRPr="00142D53" w:rsidRDefault="004358AB" w:rsidP="00D31D50">
      <w:pPr>
        <w:spacing w:line="220" w:lineRule="atLeast"/>
        <w:rPr>
          <w:sz w:val="28"/>
          <w:szCs w:val="28"/>
        </w:rPr>
      </w:pPr>
    </w:p>
    <w:sectPr w:rsidR="004358AB" w:rsidRPr="00142D5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E39" w:rsidRDefault="00A15E39" w:rsidP="00142D53">
      <w:pPr>
        <w:spacing w:after="0"/>
      </w:pPr>
      <w:r>
        <w:separator/>
      </w:r>
    </w:p>
  </w:endnote>
  <w:endnote w:type="continuationSeparator" w:id="0">
    <w:p w:rsidR="00A15E39" w:rsidRDefault="00A15E39" w:rsidP="00142D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E39" w:rsidRDefault="00A15E39" w:rsidP="00142D53">
      <w:pPr>
        <w:spacing w:after="0"/>
      </w:pPr>
      <w:r>
        <w:separator/>
      </w:r>
    </w:p>
  </w:footnote>
  <w:footnote w:type="continuationSeparator" w:id="0">
    <w:p w:rsidR="00A15E39" w:rsidRDefault="00A15E39" w:rsidP="00142D5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42D53"/>
    <w:rsid w:val="00231E8C"/>
    <w:rsid w:val="00246986"/>
    <w:rsid w:val="00323B43"/>
    <w:rsid w:val="003D37D8"/>
    <w:rsid w:val="00426133"/>
    <w:rsid w:val="004358AB"/>
    <w:rsid w:val="00871F06"/>
    <w:rsid w:val="008B7726"/>
    <w:rsid w:val="009B099A"/>
    <w:rsid w:val="00A15E39"/>
    <w:rsid w:val="00D31D50"/>
    <w:rsid w:val="00F93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2D5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42D53"/>
    <w:rPr>
      <w:rFonts w:ascii="Tahoma" w:hAnsi="Tahoma"/>
      <w:sz w:val="18"/>
      <w:szCs w:val="18"/>
    </w:rPr>
  </w:style>
  <w:style w:type="paragraph" w:styleId="a4">
    <w:name w:val="footer"/>
    <w:basedOn w:val="a"/>
    <w:link w:val="Char0"/>
    <w:uiPriority w:val="99"/>
    <w:semiHidden/>
    <w:unhideWhenUsed/>
    <w:rsid w:val="00142D53"/>
    <w:pPr>
      <w:tabs>
        <w:tab w:val="center" w:pos="4153"/>
        <w:tab w:val="right" w:pos="8306"/>
      </w:tabs>
    </w:pPr>
    <w:rPr>
      <w:sz w:val="18"/>
      <w:szCs w:val="18"/>
    </w:rPr>
  </w:style>
  <w:style w:type="character" w:customStyle="1" w:styleId="Char0">
    <w:name w:val="页脚 Char"/>
    <w:basedOn w:val="a0"/>
    <w:link w:val="a4"/>
    <w:uiPriority w:val="99"/>
    <w:semiHidden/>
    <w:rsid w:val="00142D53"/>
    <w:rPr>
      <w:rFonts w:ascii="Tahoma" w:hAnsi="Tahoma"/>
      <w:sz w:val="18"/>
      <w:szCs w:val="18"/>
    </w:rPr>
  </w:style>
  <w:style w:type="character" w:styleId="a5">
    <w:name w:val="Hyperlink"/>
    <w:basedOn w:val="a0"/>
    <w:uiPriority w:val="99"/>
    <w:semiHidden/>
    <w:unhideWhenUsed/>
    <w:rsid w:val="009B099A"/>
    <w:rPr>
      <w:strike w:val="0"/>
      <w:dstrike w:val="0"/>
      <w:color w:val="000000"/>
      <w:u w:val="none"/>
      <w:effect w:val="none"/>
    </w:rPr>
  </w:style>
  <w:style w:type="paragraph" w:styleId="a6">
    <w:name w:val="Normal (Web)"/>
    <w:basedOn w:val="a"/>
    <w:uiPriority w:val="99"/>
    <w:semiHidden/>
    <w:unhideWhenUsed/>
    <w:rsid w:val="009B099A"/>
    <w:pPr>
      <w:adjustRightInd/>
      <w:snapToGrid/>
      <w:spacing w:after="0" w:line="360" w:lineRule="auto"/>
    </w:pPr>
    <w:rPr>
      <w:rFonts w:ascii="宋体" w:eastAsia="宋体" w:hAnsi="宋体" w:cs="宋体"/>
      <w:sz w:val="24"/>
      <w:szCs w:val="24"/>
    </w:rPr>
  </w:style>
  <w:style w:type="paragraph" w:styleId="a7">
    <w:name w:val="Balloon Text"/>
    <w:basedOn w:val="a"/>
    <w:link w:val="Char1"/>
    <w:uiPriority w:val="99"/>
    <w:semiHidden/>
    <w:unhideWhenUsed/>
    <w:rsid w:val="009B099A"/>
    <w:pPr>
      <w:spacing w:after="0"/>
    </w:pPr>
    <w:rPr>
      <w:sz w:val="18"/>
      <w:szCs w:val="18"/>
    </w:rPr>
  </w:style>
  <w:style w:type="character" w:customStyle="1" w:styleId="Char1">
    <w:name w:val="批注框文本 Char"/>
    <w:basedOn w:val="a0"/>
    <w:link w:val="a7"/>
    <w:uiPriority w:val="99"/>
    <w:semiHidden/>
    <w:rsid w:val="009B099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06119381">
      <w:bodyDiv w:val="1"/>
      <w:marLeft w:val="0"/>
      <w:marRight w:val="0"/>
      <w:marTop w:val="0"/>
      <w:marBottom w:val="0"/>
      <w:divBdr>
        <w:top w:val="none" w:sz="0" w:space="0" w:color="auto"/>
        <w:left w:val="none" w:sz="0" w:space="0" w:color="auto"/>
        <w:bottom w:val="none" w:sz="0" w:space="0" w:color="auto"/>
        <w:right w:val="none" w:sz="0" w:space="0" w:color="auto"/>
      </w:divBdr>
      <w:divsChild>
        <w:div w:id="931667268">
          <w:marLeft w:val="0"/>
          <w:marRight w:val="0"/>
          <w:marTop w:val="120"/>
          <w:marBottom w:val="0"/>
          <w:divBdr>
            <w:top w:val="none" w:sz="0" w:space="0" w:color="auto"/>
            <w:left w:val="none" w:sz="0" w:space="0" w:color="auto"/>
            <w:bottom w:val="none" w:sz="0" w:space="0" w:color="auto"/>
            <w:right w:val="none" w:sz="0" w:space="0" w:color="auto"/>
          </w:divBdr>
          <w:divsChild>
            <w:div w:id="976449803">
              <w:marLeft w:val="0"/>
              <w:marRight w:val="0"/>
              <w:marTop w:val="0"/>
              <w:marBottom w:val="0"/>
              <w:divBdr>
                <w:top w:val="none" w:sz="0" w:space="0" w:color="auto"/>
                <w:left w:val="none" w:sz="0" w:space="0" w:color="auto"/>
                <w:bottom w:val="none" w:sz="0" w:space="0" w:color="auto"/>
                <w:right w:val="none" w:sz="0" w:space="0" w:color="auto"/>
              </w:divBdr>
            </w:div>
            <w:div w:id="1523204162">
              <w:marLeft w:val="0"/>
              <w:marRight w:val="0"/>
              <w:marTop w:val="120"/>
              <w:marBottom w:val="0"/>
              <w:divBdr>
                <w:top w:val="single" w:sz="6" w:space="14" w:color="E0DEDE"/>
                <w:left w:val="single" w:sz="6" w:space="14" w:color="E0DEDE"/>
                <w:bottom w:val="single" w:sz="2" w:space="4" w:color="E0DEDE"/>
                <w:right w:val="single" w:sz="6" w:space="14" w:color="E0DEDE"/>
              </w:divBdr>
              <w:divsChild>
                <w:div w:id="1325161729">
                  <w:marLeft w:val="0"/>
                  <w:marRight w:val="0"/>
                  <w:marTop w:val="0"/>
                  <w:marBottom w:val="150"/>
                  <w:divBdr>
                    <w:top w:val="none" w:sz="0" w:space="0" w:color="auto"/>
                    <w:left w:val="none" w:sz="0" w:space="0" w:color="auto"/>
                    <w:bottom w:val="none" w:sz="0" w:space="0" w:color="auto"/>
                    <w:right w:val="none" w:sz="0" w:space="0" w:color="auto"/>
                  </w:divBdr>
                </w:div>
                <w:div w:id="210968042">
                  <w:marLeft w:val="0"/>
                  <w:marRight w:val="0"/>
                  <w:marTop w:val="0"/>
                  <w:marBottom w:val="150"/>
                  <w:divBdr>
                    <w:top w:val="none" w:sz="0" w:space="0" w:color="auto"/>
                    <w:left w:val="none" w:sz="0" w:space="0" w:color="auto"/>
                    <w:bottom w:val="none" w:sz="0" w:space="0" w:color="auto"/>
                    <w:right w:val="none" w:sz="0" w:space="0" w:color="auto"/>
                  </w:divBdr>
                </w:div>
                <w:div w:id="469976716">
                  <w:marLeft w:val="0"/>
                  <w:marRight w:val="0"/>
                  <w:marTop w:val="150"/>
                  <w:marBottom w:val="0"/>
                  <w:divBdr>
                    <w:top w:val="none" w:sz="0" w:space="0" w:color="auto"/>
                    <w:left w:val="none" w:sz="0" w:space="0" w:color="auto"/>
                    <w:bottom w:val="none" w:sz="0" w:space="0" w:color="auto"/>
                    <w:right w:val="none" w:sz="0" w:space="0" w:color="auto"/>
                  </w:divBdr>
                </w:div>
                <w:div w:id="394858446">
                  <w:marLeft w:val="0"/>
                  <w:marRight w:val="0"/>
                  <w:marTop w:val="150"/>
                  <w:marBottom w:val="0"/>
                  <w:divBdr>
                    <w:top w:val="none" w:sz="0" w:space="0" w:color="auto"/>
                    <w:left w:val="none" w:sz="0" w:space="0" w:color="auto"/>
                    <w:bottom w:val="none" w:sz="0" w:space="0" w:color="auto"/>
                    <w:right w:val="none" w:sz="0" w:space="0" w:color="auto"/>
                  </w:divBdr>
                </w:div>
              </w:divsChild>
            </w:div>
            <w:div w:id="10332666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2018-07-24T08:14:00Z</dcterms:created>
  <dcterms:modified xsi:type="dcterms:W3CDTF">2018-07-24T08:14:00Z</dcterms:modified>
</cp:coreProperties>
</file>