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val="en-US" w:eastAsia="zh-CN"/>
        </w:rPr>
        <w:t>《最高人民法院关于人民法院委托评估、拍卖和变卖工作的若干规定》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法释</w:t>
      </w:r>
      <w:r>
        <w:rPr>
          <w:rFonts w:hint="default" w:ascii="Times New Roman" w:hAnsi="Times New Roman" w:eastAsia="新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[2009]16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号</w:t>
      </w:r>
      <w:r>
        <w:rPr>
          <w:rFonts w:hint="default" w:ascii="Times New Roman" w:hAnsi="Times New Roman" w:eastAsia="新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新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2009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新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新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日最高人民法院审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判委员会第</w:t>
      </w:r>
      <w:r>
        <w:rPr>
          <w:rFonts w:hint="default" w:ascii="Times New Roman" w:hAnsi="Times New Roman" w:eastAsia="新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1472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次会议通过）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第一条　人民法院司法技术管理部门负责本院的委托评估、拍卖和流拍财产的变卖工作，依法对委托评估、拍卖机构的评估、拍卖活动进行监督。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第二条　根据工作需要，下级人民法院可将评估、拍卖和变卖工作报请上级人民法院办理。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第三条　人民法院需要对异地的财产进行评估或拍卖时，可以委托财产所在地人民法院办理。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第四条　人民法院按照公开、公平、择优的原则编制人民法院委托评估、拍卖机构名册。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人民法院编制委托评估、拍卖机构名册，应当先期公告，明确入册机构的条件和评审程序等事项。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第五条　人民法院在编制委托评估、拍卖机构名册时，由司法技术管理部门、审判部门、执行部门组成评审委员会，必要时可邀请评估、拍卖行业的专家参加评审。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第六条　评审委员会对申请加入人民法院委托评估、拍卖名册的机构，应当从资质等级、职业信誉、经营业绩、执业人员情况等方面进行审查、打分，按分数高低经过初审、公示、复审后确定进入名册的机构，并对名册进行动态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第七条　人民法院选择评估、拍卖机构，应当在人民法院委托评估、拍卖机构名册内采取公开随机的方式选定。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第八条　人民法院选择评估、拍卖机构，应当通知审判、执行人员到场，视情况可邀请社会有关人员到场监督。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第九条　人民法院选择评估、拍卖机构，应当提前通知各方当事人到场；当事人不到场的，人民法院可将选择机构的情况，以书面形式送达当事人。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第十条　评估、拍卖机构选定后，人民法院应当向选定的机构出具委托书，委托书中应当载明本次委托的要求和工作完成的期限等事项。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第十一条　评估、拍卖机构接受人民法院的委托后，在规定期限内无正当理由不能完成委托事项的，人民法院应当解除委托，重新选择机构，并对其暂停备选资格或从委托评估、拍卖机构名册内除名。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第十二条　评估机构在工作中需要对现场进行勘验的，人民法院应当提前通知审判、执行人员和当事人到场。当事人不到场的，不影响勘验的进行，但应当有见证人见证。评估机构勘验现场，应当制作现场勘验笔录。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勘验现场人员、当事人或见证人应当在勘验笔录上签字或盖章确认。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第十三条　拍卖财产经过评估的，评估价即为第一次拍卖的保留价；未作评估的，保留价由人民法院参照市价确定，并应当征询有关当事人的意见。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第十四条　审判、执行部门未经司法技术管理部门同意擅自委托评估、拍卖，或对流拍财产进行变卖的，按照有关纪律规定追究责任。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第十五条　人民法院司法技术管理部门，在组织评审委员会审查评估、拍卖入册机构，或选择评估、拍卖机构，或对流拍财产进行变卖时，应当通知本院纪检监察部门。纪检监察部门可视情况派员参加。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第十六条　施行前本院公布的司法解释与本规定不一致的，以本规定为准。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2018-07-23T07:36:24Z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